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5379" w:rsidRPr="00D3450A" w:rsidRDefault="00581F6C" w:rsidP="00355379">
      <w:pPr>
        <w:spacing w:line="360" w:lineRule="auto"/>
        <w:jc w:val="center"/>
        <w:rPr>
          <w:rFonts w:ascii="Tahoma" w:hAnsi="Tahoma" w:cs="Tahoma"/>
          <w:b/>
          <w:color w:val="000000"/>
          <w:sz w:val="32"/>
          <w:szCs w:val="36"/>
          <w:lang w:val="pt-PT"/>
        </w:rPr>
      </w:pPr>
      <w:r w:rsidRPr="00D3450A">
        <w:rPr>
          <w:rFonts w:ascii="Tahoma" w:hAnsi="Tahoma" w:cs="Tahoma"/>
          <w:b/>
          <w:color w:val="000000"/>
          <w:sz w:val="32"/>
          <w:szCs w:val="36"/>
          <w:lang w:val="pt-PT"/>
        </w:rPr>
        <w:t xml:space="preserve">PHC e SIBS </w:t>
      </w:r>
      <w:r w:rsidR="0038443D" w:rsidRPr="00D3450A">
        <w:rPr>
          <w:rFonts w:ascii="Tahoma" w:hAnsi="Tahoma" w:cs="Tahoma"/>
          <w:b/>
          <w:color w:val="000000"/>
          <w:sz w:val="32"/>
          <w:szCs w:val="36"/>
          <w:lang w:val="pt-PT"/>
        </w:rPr>
        <w:t xml:space="preserve">PROCESSOS </w:t>
      </w:r>
      <w:r w:rsidRPr="00D3450A">
        <w:rPr>
          <w:rFonts w:ascii="Tahoma" w:hAnsi="Tahoma" w:cs="Tahoma"/>
          <w:b/>
          <w:color w:val="000000"/>
          <w:sz w:val="32"/>
          <w:szCs w:val="36"/>
          <w:lang w:val="pt-PT"/>
        </w:rPr>
        <w:t xml:space="preserve">estabelecem parceria </w:t>
      </w:r>
    </w:p>
    <w:p w:rsidR="00355379" w:rsidRPr="00D3450A" w:rsidRDefault="00355379" w:rsidP="00BD0CEC">
      <w:pPr>
        <w:spacing w:line="312" w:lineRule="auto"/>
        <w:jc w:val="center"/>
        <w:rPr>
          <w:rFonts w:ascii="Tahoma" w:hAnsi="Tahoma" w:cs="Tahoma"/>
          <w:lang w:val="pt-PT"/>
        </w:rPr>
      </w:pPr>
    </w:p>
    <w:p w:rsidR="007231B1" w:rsidRPr="00BD0CEC" w:rsidRDefault="00581F6C" w:rsidP="00BD0CEC">
      <w:pPr>
        <w:numPr>
          <w:ilvl w:val="0"/>
          <w:numId w:val="1"/>
        </w:numPr>
        <w:spacing w:line="312" w:lineRule="auto"/>
        <w:rPr>
          <w:rFonts w:ascii="Tahoma" w:hAnsi="Tahoma" w:cs="Tahoma"/>
          <w:color w:val="000000"/>
          <w:sz w:val="22"/>
          <w:szCs w:val="22"/>
          <w:lang w:val="pt-PT"/>
        </w:rPr>
      </w:pPr>
      <w:r w:rsidRPr="00BD0CEC">
        <w:rPr>
          <w:rFonts w:ascii="Tahoma" w:hAnsi="Tahoma" w:cs="Tahoma"/>
          <w:color w:val="000000"/>
          <w:sz w:val="22"/>
          <w:szCs w:val="22"/>
          <w:lang w:val="pt-PT"/>
        </w:rPr>
        <w:t xml:space="preserve">O MB DOX, o </w:t>
      </w:r>
      <w:r w:rsidR="00DE4F0D" w:rsidRPr="00BD0CEC">
        <w:rPr>
          <w:rFonts w:ascii="Tahoma" w:hAnsi="Tahoma" w:cs="Tahoma"/>
          <w:color w:val="000000"/>
          <w:sz w:val="22"/>
          <w:szCs w:val="22"/>
          <w:lang w:val="pt-PT"/>
        </w:rPr>
        <w:t xml:space="preserve">mais recente </w:t>
      </w:r>
      <w:r w:rsidRPr="00BD0CEC">
        <w:rPr>
          <w:rFonts w:ascii="Tahoma" w:hAnsi="Tahoma" w:cs="Tahoma"/>
          <w:color w:val="000000"/>
          <w:sz w:val="22"/>
          <w:szCs w:val="22"/>
          <w:lang w:val="pt-PT"/>
        </w:rPr>
        <w:t>serviço da SIBS</w:t>
      </w:r>
      <w:r w:rsidR="0038443D" w:rsidRPr="00BD0CEC">
        <w:rPr>
          <w:rFonts w:ascii="Tahoma" w:hAnsi="Tahoma" w:cs="Tahoma"/>
          <w:color w:val="000000"/>
          <w:sz w:val="22"/>
          <w:szCs w:val="22"/>
          <w:lang w:val="pt-PT"/>
        </w:rPr>
        <w:t xml:space="preserve"> PROCESSOS</w:t>
      </w:r>
      <w:r w:rsidR="007B35BA" w:rsidRPr="00BD0CEC">
        <w:rPr>
          <w:rFonts w:ascii="Tahoma" w:hAnsi="Tahoma" w:cs="Tahoma"/>
          <w:color w:val="000000"/>
          <w:sz w:val="22"/>
          <w:szCs w:val="22"/>
          <w:lang w:val="pt-PT"/>
        </w:rPr>
        <w:t xml:space="preserve"> está integrado com o Software PHC CS</w:t>
      </w:r>
    </w:p>
    <w:p w:rsidR="00DE4F0D" w:rsidRPr="00BD0CEC" w:rsidRDefault="00DE4F0D" w:rsidP="00BD0CEC">
      <w:pPr>
        <w:spacing w:line="312" w:lineRule="auto"/>
        <w:ind w:left="720"/>
        <w:rPr>
          <w:rFonts w:ascii="Tahoma" w:hAnsi="Tahoma" w:cs="Tahoma"/>
          <w:sz w:val="22"/>
          <w:szCs w:val="22"/>
          <w:lang w:val="pt-PT"/>
        </w:rPr>
      </w:pPr>
    </w:p>
    <w:p w:rsidR="00581F6C" w:rsidRPr="00BD0CEC" w:rsidRDefault="007B35BA" w:rsidP="00BD0CEC">
      <w:pPr>
        <w:numPr>
          <w:ilvl w:val="0"/>
          <w:numId w:val="1"/>
        </w:numPr>
        <w:spacing w:line="312" w:lineRule="auto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>Esta parceria permite a utilização do novo serviço MB DOX a partir do Software PHC CS</w:t>
      </w:r>
    </w:p>
    <w:p w:rsidR="00121E4E" w:rsidRPr="00BD0CEC" w:rsidRDefault="00121E4E" w:rsidP="00581F6C">
      <w:pPr>
        <w:pStyle w:val="ListParagraph"/>
        <w:rPr>
          <w:rFonts w:ascii="Tahoma" w:hAnsi="Tahoma" w:cs="Tahoma"/>
          <w:sz w:val="22"/>
          <w:szCs w:val="22"/>
          <w:lang w:val="pt-PT"/>
        </w:rPr>
      </w:pPr>
    </w:p>
    <w:p w:rsidR="00A175D0" w:rsidRPr="00BD0CEC" w:rsidRDefault="007B35BA" w:rsidP="00BD0CEC">
      <w:pPr>
        <w:spacing w:line="312" w:lineRule="auto"/>
        <w:jc w:val="both"/>
        <w:rPr>
          <w:rFonts w:ascii="Arial" w:hAnsi="Arial" w:cs="Arial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 xml:space="preserve">Lisboa – </w:t>
      </w:r>
      <w:r w:rsidR="00004F27" w:rsidRPr="00AF4EF7">
        <w:rPr>
          <w:rFonts w:ascii="Tahoma" w:hAnsi="Tahoma" w:cs="Tahoma"/>
          <w:sz w:val="22"/>
          <w:szCs w:val="22"/>
          <w:lang w:val="pt-PT"/>
        </w:rPr>
        <w:t>12</w:t>
      </w:r>
      <w:r w:rsidRPr="00AF4EF7">
        <w:rPr>
          <w:rFonts w:ascii="Tahoma" w:hAnsi="Tahoma" w:cs="Tahoma"/>
          <w:sz w:val="22"/>
          <w:szCs w:val="22"/>
          <w:lang w:val="pt-PT"/>
        </w:rPr>
        <w:t xml:space="preserve"> de </w:t>
      </w:r>
      <w:r w:rsidR="00004F27" w:rsidRPr="00AF4EF7">
        <w:rPr>
          <w:rFonts w:ascii="Tahoma" w:hAnsi="Tahoma" w:cs="Tahoma"/>
          <w:sz w:val="22"/>
          <w:szCs w:val="22"/>
          <w:lang w:val="pt-PT"/>
        </w:rPr>
        <w:t>Setembro</w:t>
      </w:r>
      <w:r w:rsidRPr="00AF4EF7">
        <w:rPr>
          <w:rFonts w:ascii="Tahoma" w:hAnsi="Tahoma" w:cs="Tahoma"/>
          <w:sz w:val="22"/>
          <w:szCs w:val="22"/>
          <w:lang w:val="pt-PT"/>
        </w:rPr>
        <w:t xml:space="preserve"> de 2011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 – </w:t>
      </w:r>
      <w:r w:rsidR="007334B2">
        <w:rPr>
          <w:rFonts w:ascii="Tahoma" w:hAnsi="Tahoma" w:cs="Tahoma"/>
          <w:sz w:val="22"/>
          <w:szCs w:val="22"/>
          <w:lang w:val="pt-PT"/>
        </w:rPr>
        <w:t xml:space="preserve">A </w:t>
      </w:r>
      <w:hyperlink r:id="rId9" w:history="1">
        <w:r w:rsidR="007334B2" w:rsidRPr="00340808">
          <w:rPr>
            <w:rStyle w:val="Hyperlink"/>
            <w:rFonts w:ascii="Tahoma" w:hAnsi="Tahoma" w:cs="Tahoma"/>
            <w:sz w:val="22"/>
            <w:szCs w:val="22"/>
            <w:lang w:val="pt-PT"/>
          </w:rPr>
          <w:t>SIBS PROCESSOS</w:t>
        </w:r>
      </w:hyperlink>
      <w:r w:rsidR="007334B2">
        <w:rPr>
          <w:rFonts w:ascii="Tahoma" w:hAnsi="Tahoma" w:cs="Tahoma"/>
          <w:sz w:val="22"/>
          <w:szCs w:val="22"/>
          <w:lang w:val="pt-PT"/>
        </w:rPr>
        <w:t xml:space="preserve"> e a </w:t>
      </w:r>
      <w:hyperlink r:id="rId10" w:history="1">
        <w:r w:rsidR="007334B2" w:rsidRPr="00340808">
          <w:rPr>
            <w:rStyle w:val="Hyperlink"/>
            <w:rFonts w:ascii="Tahoma" w:hAnsi="Tahoma" w:cs="Tahoma"/>
            <w:sz w:val="22"/>
            <w:szCs w:val="22"/>
            <w:lang w:val="pt-PT"/>
          </w:rPr>
          <w:t>PHC Software</w:t>
        </w:r>
      </w:hyperlink>
      <w:r w:rsidR="007334B2">
        <w:rPr>
          <w:rFonts w:ascii="Tahoma" w:hAnsi="Tahoma" w:cs="Tahoma"/>
          <w:sz w:val="22"/>
          <w:szCs w:val="22"/>
          <w:lang w:val="pt-PT"/>
        </w:rPr>
        <w:t xml:space="preserve"> anunciaram a criação de uma parceria. </w:t>
      </w:r>
      <w:r w:rsidR="00A175D0" w:rsidRPr="00BD0CEC">
        <w:rPr>
          <w:rFonts w:ascii="Arial" w:hAnsi="Arial" w:cs="Arial"/>
          <w:sz w:val="22"/>
          <w:szCs w:val="22"/>
          <w:lang w:val="pt-PT"/>
        </w:rPr>
        <w:t xml:space="preserve">A partir de agora as empresas que dispõem do Software PHC CS já podem aceder ao serviço MB DOX. O serviço permite a gestão </w:t>
      </w:r>
      <w:proofErr w:type="gramStart"/>
      <w:r w:rsidR="00A175D0" w:rsidRPr="00BD0CEC">
        <w:rPr>
          <w:rFonts w:ascii="Arial" w:hAnsi="Arial" w:cs="Arial"/>
          <w:i/>
          <w:sz w:val="22"/>
          <w:szCs w:val="22"/>
          <w:lang w:val="pt-PT"/>
        </w:rPr>
        <w:t>online</w:t>
      </w:r>
      <w:proofErr w:type="gramEnd"/>
      <w:r w:rsidR="00A175D0" w:rsidRPr="00BD0CEC">
        <w:rPr>
          <w:rFonts w:ascii="Arial" w:hAnsi="Arial" w:cs="Arial"/>
          <w:sz w:val="22"/>
          <w:szCs w:val="22"/>
          <w:lang w:val="pt-PT"/>
        </w:rPr>
        <w:t xml:space="preserve"> de facturas, com opção de pagamento ou de agendamento, numa única plataforma, centralizando os documentos provenientes de diferentes emissores. </w:t>
      </w:r>
    </w:p>
    <w:p w:rsidR="00BD0CEC" w:rsidRPr="00BD0CEC" w:rsidRDefault="00BD0CEC" w:rsidP="00BD0CEC">
      <w:pPr>
        <w:spacing w:line="312" w:lineRule="auto"/>
        <w:jc w:val="both"/>
        <w:rPr>
          <w:rFonts w:ascii="Arial" w:hAnsi="Arial" w:cs="Arial"/>
          <w:sz w:val="22"/>
          <w:szCs w:val="22"/>
          <w:lang w:val="pt-PT"/>
        </w:rPr>
      </w:pPr>
    </w:p>
    <w:p w:rsidR="00784628" w:rsidRPr="00BD0CEC" w:rsidRDefault="00784628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>“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>Esta é mais uma forma de facilitar a gestão dos negócios dos nossos clientes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”, avança </w:t>
      </w:r>
      <w:r w:rsidR="00004F27" w:rsidRPr="00AF4EF7">
        <w:rPr>
          <w:rFonts w:ascii="Tahoma" w:hAnsi="Tahoma" w:cs="Tahoma"/>
          <w:sz w:val="22"/>
          <w:szCs w:val="22"/>
          <w:lang w:val="pt-PT"/>
        </w:rPr>
        <w:t>Miguel Capelão</w:t>
      </w:r>
      <w:r w:rsidRPr="00AF4EF7">
        <w:rPr>
          <w:rFonts w:ascii="Tahoma" w:hAnsi="Tahoma" w:cs="Tahoma"/>
          <w:sz w:val="22"/>
          <w:szCs w:val="22"/>
          <w:lang w:val="pt-PT"/>
        </w:rPr>
        <w:t xml:space="preserve">, </w:t>
      </w:r>
      <w:r w:rsidR="00004F27" w:rsidRPr="00AF4EF7">
        <w:rPr>
          <w:rFonts w:ascii="Tahoma" w:hAnsi="Tahoma" w:cs="Tahoma"/>
          <w:sz w:val="22"/>
          <w:szCs w:val="22"/>
          <w:lang w:val="pt-PT"/>
        </w:rPr>
        <w:t xml:space="preserve">administrador </w:t>
      </w:r>
      <w:proofErr w:type="gramStart"/>
      <w:r w:rsidRPr="00AF4EF7">
        <w:rPr>
          <w:rFonts w:ascii="Tahoma" w:hAnsi="Tahoma" w:cs="Tahoma"/>
          <w:sz w:val="22"/>
          <w:szCs w:val="22"/>
          <w:lang w:val="pt-PT"/>
        </w:rPr>
        <w:t>da PHC</w:t>
      </w:r>
      <w:proofErr w:type="gramEnd"/>
      <w:r w:rsidR="00A175D0" w:rsidRPr="00AF4EF7">
        <w:rPr>
          <w:rFonts w:ascii="Tahoma" w:hAnsi="Tahoma" w:cs="Tahoma"/>
          <w:sz w:val="22"/>
          <w:szCs w:val="22"/>
          <w:lang w:val="pt-PT"/>
        </w:rPr>
        <w:t>.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 A parceria</w:t>
      </w:r>
      <w:r w:rsidR="00304A82" w:rsidRPr="00BD0CEC">
        <w:rPr>
          <w:rFonts w:ascii="Tahoma" w:hAnsi="Tahoma" w:cs="Tahoma"/>
          <w:sz w:val="22"/>
          <w:szCs w:val="22"/>
          <w:lang w:val="pt-PT"/>
        </w:rPr>
        <w:t xml:space="preserve"> entre a SIBS PR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OCESSOS e a PHC </w:t>
      </w:r>
      <w:r w:rsidRPr="00BD0CEC">
        <w:rPr>
          <w:rFonts w:ascii="Tahoma" w:hAnsi="Tahoma" w:cs="Tahoma"/>
          <w:sz w:val="22"/>
          <w:szCs w:val="22"/>
          <w:lang w:val="pt-PT"/>
        </w:rPr>
        <w:t>permite a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 integração do Software PHC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 CS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 com o novo serviço MB DOX, </w:t>
      </w:r>
      <w:r w:rsidRPr="00BD0CEC">
        <w:rPr>
          <w:rFonts w:ascii="Tahoma" w:hAnsi="Tahoma" w:cs="Tahoma"/>
          <w:sz w:val="22"/>
          <w:szCs w:val="22"/>
          <w:lang w:val="pt-PT"/>
        </w:rPr>
        <w:t>o que resulta n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uma plataforma 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que 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 xml:space="preserve">traz benefícios aos utilizadores simultâneos do Software PHC e emissores de facturas. </w:t>
      </w:r>
      <w:r w:rsidR="009C3936" w:rsidRPr="00BD0CEC">
        <w:rPr>
          <w:rFonts w:ascii="Tahoma" w:hAnsi="Tahoma" w:cs="Tahoma"/>
          <w:sz w:val="22"/>
          <w:szCs w:val="22"/>
          <w:lang w:val="pt-PT"/>
        </w:rPr>
        <w:t xml:space="preserve">Em suma, o MB DOX é um serviço que possibilita a gestão, </w:t>
      </w:r>
      <w:r w:rsidR="00397C01">
        <w:rPr>
          <w:rFonts w:ascii="Tahoma" w:hAnsi="Tahoma" w:cs="Tahoma"/>
          <w:sz w:val="22"/>
          <w:szCs w:val="22"/>
          <w:lang w:val="pt-PT"/>
        </w:rPr>
        <w:t>centralizada</w:t>
      </w:r>
      <w:r w:rsidR="009C3936" w:rsidRPr="00BD0CEC">
        <w:rPr>
          <w:rFonts w:ascii="Tahoma" w:hAnsi="Tahoma" w:cs="Tahoma"/>
          <w:sz w:val="22"/>
          <w:szCs w:val="22"/>
          <w:lang w:val="pt-PT"/>
        </w:rPr>
        <w:t>, de qualquer tipo de documento electrónico e, para o caso particular de facturas, efectuar o pagamento de vários fornecedores de serviços, privilegiando a simplicidade e a desmaterialização de papel. Todas as vantagens deste serviço estão agora disponíveis para os Clientes PHC.</w:t>
      </w:r>
    </w:p>
    <w:p w:rsidR="00784628" w:rsidRPr="00BD0CEC" w:rsidRDefault="00784628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A175D0" w:rsidRPr="00BD0CEC" w:rsidRDefault="00784628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>“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>Seja um gabinete de contabilidade, uma grande superfície comercial ou uma empresa industrial, a emissão e liquidação das facturas dos clientes fica centralizada, no Software PHC e no MB DOX. Todos o</w:t>
      </w:r>
      <w:r w:rsidRPr="00BD0CEC">
        <w:rPr>
          <w:rFonts w:ascii="Tahoma" w:hAnsi="Tahoma" w:cs="Tahoma"/>
          <w:sz w:val="22"/>
          <w:szCs w:val="22"/>
          <w:lang w:val="pt-PT"/>
        </w:rPr>
        <w:t>s intervenientes ficam a ganhar</w:t>
      </w:r>
      <w:r w:rsidR="00A175D0" w:rsidRPr="00BD0CEC">
        <w:rPr>
          <w:rFonts w:ascii="Tahoma" w:hAnsi="Tahoma" w:cs="Tahoma"/>
          <w:sz w:val="22"/>
          <w:szCs w:val="22"/>
          <w:lang w:val="pt-PT"/>
        </w:rPr>
        <w:t>. Esta integração do serviço MB DOX com o Software PHC é garantida através da instalação de um interface de ligação ao serviço MB DOX</w:t>
      </w:r>
      <w:r w:rsidR="007334B2">
        <w:rPr>
          <w:rFonts w:ascii="Tahoma" w:hAnsi="Tahoma" w:cs="Tahoma"/>
          <w:sz w:val="22"/>
          <w:szCs w:val="22"/>
          <w:lang w:val="pt-PT"/>
        </w:rPr>
        <w:t>. A responsabilidade ambiental assume também um papel importante nesta parceria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”, esclarece </w:t>
      </w:r>
      <w:r w:rsidR="00004F27" w:rsidRPr="00AF4EF7">
        <w:rPr>
          <w:rFonts w:ascii="Tahoma" w:hAnsi="Tahoma" w:cs="Tahoma"/>
          <w:sz w:val="22"/>
          <w:szCs w:val="22"/>
          <w:lang w:val="pt-PT"/>
        </w:rPr>
        <w:t>Miguel Capelão</w:t>
      </w:r>
      <w:r w:rsidR="00A175D0" w:rsidRPr="00AF4EF7">
        <w:rPr>
          <w:rFonts w:ascii="Tahoma" w:hAnsi="Tahoma" w:cs="Tahoma"/>
          <w:sz w:val="22"/>
          <w:szCs w:val="22"/>
          <w:lang w:val="pt-PT"/>
        </w:rPr>
        <w:t>.</w:t>
      </w:r>
    </w:p>
    <w:p w:rsidR="00A175D0" w:rsidRDefault="00A175D0" w:rsidP="00BD0CEC">
      <w:pPr>
        <w:spacing w:line="312" w:lineRule="auto"/>
        <w:jc w:val="both"/>
        <w:rPr>
          <w:rFonts w:ascii="Arial" w:hAnsi="Arial" w:cs="Arial"/>
          <w:sz w:val="22"/>
          <w:szCs w:val="22"/>
          <w:lang w:val="pt-PT"/>
        </w:rPr>
      </w:pPr>
    </w:p>
    <w:p w:rsidR="009C3936" w:rsidRPr="00BD0CEC" w:rsidRDefault="009C3936" w:rsidP="009C3936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 xml:space="preserve">O MB DOX é o mais recente serviço MULTIBANCO, fruto da inovação do Grupo SIBS, que permite centralizar todos os documentos em formato digital, num único ponto e de forma segura, mesmo que provenientes de diferentes emissores. Este serviço é seguro e acessível através de </w:t>
      </w:r>
      <w:proofErr w:type="spellStart"/>
      <w:proofErr w:type="gramStart"/>
      <w:r w:rsidRPr="00BD0CEC">
        <w:rPr>
          <w:rFonts w:ascii="Tahoma" w:hAnsi="Tahoma" w:cs="Tahoma"/>
          <w:i/>
          <w:sz w:val="22"/>
          <w:szCs w:val="22"/>
          <w:lang w:val="pt-PT"/>
        </w:rPr>
        <w:t>homebanking</w:t>
      </w:r>
      <w:proofErr w:type="spellEnd"/>
      <w:proofErr w:type="gramEnd"/>
      <w:r w:rsidRPr="00BD0CEC">
        <w:rPr>
          <w:rFonts w:ascii="Tahoma" w:hAnsi="Tahoma" w:cs="Tahoma"/>
          <w:sz w:val="22"/>
          <w:szCs w:val="22"/>
          <w:lang w:val="pt-PT"/>
        </w:rPr>
        <w:t xml:space="preserve"> dos bancos aderentes, sendo garantida a integridade e confidencialidade dos dados e dos documentos. </w:t>
      </w:r>
    </w:p>
    <w:p w:rsidR="009C3936" w:rsidRPr="00BD0CEC" w:rsidRDefault="009C3936" w:rsidP="009C3936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9C3936" w:rsidRPr="00BD0CEC" w:rsidRDefault="009C3936" w:rsidP="009C3936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784628" w:rsidRPr="00BD0CEC" w:rsidRDefault="00784628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 xml:space="preserve">“A SIBS PROCESSOS idealizou esta plataforma, não só como um novo modo de pagamento electrónico, mas como uma nova ferramenta de trabalho para as empresas e os seus clientes. A agilização e regularização de pagamentos, a consulta e o sistema de alertas facilitam o dia-a-dia das empresas e, em simultâneo, dos seus clientes. Esta parceria com </w:t>
      </w:r>
      <w:proofErr w:type="gramStart"/>
      <w:r w:rsidRPr="00BD0CEC">
        <w:rPr>
          <w:rFonts w:ascii="Tahoma" w:hAnsi="Tahoma" w:cs="Tahoma"/>
          <w:sz w:val="22"/>
          <w:szCs w:val="22"/>
          <w:lang w:val="pt-PT"/>
        </w:rPr>
        <w:t>a PHC</w:t>
      </w:r>
      <w:proofErr w:type="gramEnd"/>
      <w:r w:rsidRPr="00BD0CEC">
        <w:rPr>
          <w:rFonts w:ascii="Tahoma" w:hAnsi="Tahoma" w:cs="Tahoma"/>
          <w:sz w:val="22"/>
          <w:szCs w:val="22"/>
          <w:lang w:val="pt-PT"/>
        </w:rPr>
        <w:t xml:space="preserve"> permite também às empresas que utilizam o Software PHC usufruírem desta ferramenta. Paralelamente, os custos com papel e outras despesas inerentes ao envio postal ou por </w:t>
      </w:r>
      <w:proofErr w:type="gramStart"/>
      <w:r w:rsidRPr="00BD0CEC">
        <w:rPr>
          <w:rFonts w:ascii="Tahoma" w:hAnsi="Tahoma" w:cs="Tahoma"/>
          <w:sz w:val="22"/>
          <w:szCs w:val="22"/>
          <w:lang w:val="pt-PT"/>
        </w:rPr>
        <w:t>e-mail</w:t>
      </w:r>
      <w:proofErr w:type="gramEnd"/>
      <w:r w:rsidRPr="00BD0CEC">
        <w:rPr>
          <w:rFonts w:ascii="Tahoma" w:hAnsi="Tahoma" w:cs="Tahoma"/>
          <w:sz w:val="22"/>
          <w:szCs w:val="22"/>
          <w:lang w:val="pt-PT"/>
        </w:rPr>
        <w:t xml:space="preserve"> são diminuídos”, refere Raul Neves, Director-Geral da SIBS PROCESSOS.” </w:t>
      </w:r>
    </w:p>
    <w:p w:rsidR="00190B57" w:rsidRPr="00BD0CEC" w:rsidRDefault="00190B57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581F6C" w:rsidRPr="00BD0CEC" w:rsidRDefault="009C3936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>
        <w:rPr>
          <w:rFonts w:ascii="Tahoma" w:hAnsi="Tahoma" w:cs="Tahoma"/>
          <w:sz w:val="22"/>
          <w:szCs w:val="22"/>
          <w:lang w:val="pt-PT"/>
        </w:rPr>
        <w:t xml:space="preserve">A parceria tem 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como propósito disponibilizar às empresas utilizadoras do Software PHC, que em simultâneo são emissoras de facturas a possibilidade de acederem a este serviço a partir do módulo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"http://www.phc.pt/portal/programs/estview.aspx?ref=Gestao" </w:instrText>
      </w:r>
      <w:r w:rsidR="00B94BFA">
        <w:fldChar w:fldCharType="separate"/>
      </w:r>
      <w:r w:rsidRPr="00BD0CEC">
        <w:rPr>
          <w:rStyle w:val="Hyperlink"/>
          <w:rFonts w:ascii="Tahoma" w:hAnsi="Tahoma" w:cs="Tahoma"/>
          <w:sz w:val="22"/>
          <w:szCs w:val="22"/>
          <w:lang w:val="pt-PT"/>
        </w:rPr>
        <w:t>PHC Gestão</w:t>
      </w:r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Pr="00BD0CEC">
        <w:rPr>
          <w:rFonts w:ascii="Tahoma" w:hAnsi="Tahoma" w:cs="Tahoma"/>
          <w:sz w:val="22"/>
          <w:szCs w:val="22"/>
          <w:lang w:val="pt-PT"/>
        </w:rPr>
        <w:t xml:space="preserve">. </w:t>
      </w:r>
      <w:r w:rsidR="007B35BA" w:rsidRPr="00BD0CEC">
        <w:rPr>
          <w:rFonts w:ascii="Tahoma" w:hAnsi="Tahoma" w:cs="Tahoma"/>
          <w:sz w:val="22"/>
          <w:szCs w:val="22"/>
          <w:lang w:val="pt-PT"/>
        </w:rPr>
        <w:t xml:space="preserve">Esta integração é uma das novidades da recentemente lançada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"http://www.phc.pt/portal/programs/ewpview.aspx?codigo=upgrade2012" </w:instrText>
      </w:r>
      <w:r w:rsidR="00B94BFA">
        <w:fldChar w:fldCharType="separate"/>
      </w:r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>versão 2012 do Software PHC CS</w:t>
      </w:r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5309F0" w:rsidRPr="00BD0CEC">
        <w:rPr>
          <w:rFonts w:ascii="Tahoma" w:hAnsi="Tahoma" w:cs="Tahoma"/>
          <w:sz w:val="22"/>
          <w:szCs w:val="22"/>
          <w:lang w:val="pt-PT"/>
        </w:rPr>
        <w:t xml:space="preserve"> e está disponível</w:t>
      </w:r>
      <w:r w:rsidR="007B35BA" w:rsidRPr="00BD0CEC">
        <w:rPr>
          <w:rFonts w:ascii="Tahoma" w:hAnsi="Tahoma" w:cs="Tahoma"/>
          <w:sz w:val="22"/>
          <w:szCs w:val="22"/>
          <w:lang w:val="pt-PT"/>
        </w:rPr>
        <w:t xml:space="preserve"> nas gamas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"http://www.phc.pt/portal/programs/ewpview.aspx?codigo=tgamacorporate" </w:instrText>
      </w:r>
      <w:r w:rsidR="00B94BFA">
        <w:fldChar w:fldCharType="separate"/>
      </w:r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 xml:space="preserve">PHC </w:t>
      </w:r>
      <w:proofErr w:type="spellStart"/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>Corporate</w:t>
      </w:r>
      <w:proofErr w:type="spellEnd"/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581F6C" w:rsidRPr="00BD0CEC">
        <w:rPr>
          <w:rFonts w:ascii="Tahoma" w:hAnsi="Tahoma" w:cs="Tahoma"/>
          <w:sz w:val="22"/>
          <w:szCs w:val="22"/>
          <w:lang w:val="pt-PT"/>
        </w:rPr>
        <w:t xml:space="preserve">,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"http://www.phc.pt/portal/programs/ewpview.aspx?codigo=tgamaadvanced" </w:instrText>
      </w:r>
      <w:r w:rsidR="00B94BFA">
        <w:fldChar w:fldCharType="separate"/>
      </w:r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 xml:space="preserve">PHC </w:t>
      </w:r>
      <w:proofErr w:type="spellStart"/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>Advanced</w:t>
      </w:r>
      <w:proofErr w:type="spellEnd"/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581F6C" w:rsidRPr="00BD0CEC">
        <w:rPr>
          <w:rFonts w:ascii="Tahoma" w:hAnsi="Tahoma" w:cs="Tahoma"/>
          <w:sz w:val="22"/>
          <w:szCs w:val="22"/>
          <w:lang w:val="pt-PT"/>
        </w:rPr>
        <w:t xml:space="preserve"> e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"http://www.phc.pt/portal/programs/ewpview.aspx?codigo=tgamaenterprise" </w:instrText>
      </w:r>
      <w:r w:rsidR="00B94BFA">
        <w:fldChar w:fldCharType="separate"/>
      </w:r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 xml:space="preserve">PHC </w:t>
      </w:r>
      <w:proofErr w:type="spellStart"/>
      <w:r w:rsidR="007B35BA" w:rsidRPr="00BD0CEC">
        <w:rPr>
          <w:rStyle w:val="Hyperlink"/>
          <w:rFonts w:ascii="Tahoma" w:hAnsi="Tahoma" w:cs="Tahoma"/>
          <w:sz w:val="22"/>
          <w:szCs w:val="22"/>
          <w:lang w:val="pt-PT"/>
        </w:rPr>
        <w:t>Enterprise</w:t>
      </w:r>
      <w:proofErr w:type="spellEnd"/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581F6C" w:rsidRPr="00BD0CEC">
        <w:rPr>
          <w:rFonts w:ascii="Tahoma" w:hAnsi="Tahoma" w:cs="Tahoma"/>
          <w:sz w:val="22"/>
          <w:szCs w:val="22"/>
          <w:lang w:val="pt-PT"/>
        </w:rPr>
        <w:t>.</w:t>
      </w:r>
    </w:p>
    <w:p w:rsidR="00581F6C" w:rsidRPr="00BD0CEC" w:rsidRDefault="00581F6C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7334B2" w:rsidRPr="00BD0CEC" w:rsidRDefault="007334B2" w:rsidP="007334B2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 xml:space="preserve">Outros benefícios </w:t>
      </w:r>
      <w:r>
        <w:rPr>
          <w:rFonts w:ascii="Tahoma" w:hAnsi="Tahoma" w:cs="Tahoma"/>
          <w:sz w:val="22"/>
          <w:szCs w:val="22"/>
          <w:lang w:val="pt-PT"/>
        </w:rPr>
        <w:t xml:space="preserve">referenciados </w:t>
      </w:r>
      <w:r w:rsidRPr="00BD0CEC">
        <w:rPr>
          <w:rFonts w:ascii="Tahoma" w:hAnsi="Tahoma" w:cs="Tahoma"/>
          <w:sz w:val="22"/>
          <w:szCs w:val="22"/>
          <w:lang w:val="pt-PT"/>
        </w:rPr>
        <w:t>são também a facilidade de implementação, a imagem de modernidade tecnológica e a agilização do processo de p</w:t>
      </w:r>
      <w:r>
        <w:rPr>
          <w:rFonts w:ascii="Tahoma" w:hAnsi="Tahoma" w:cs="Tahoma"/>
          <w:sz w:val="22"/>
          <w:szCs w:val="22"/>
          <w:lang w:val="pt-PT"/>
        </w:rPr>
        <w:t>agamento.</w:t>
      </w:r>
    </w:p>
    <w:p w:rsidR="00581F6C" w:rsidRPr="00BD0CEC" w:rsidRDefault="00581F6C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2"/>
          <w:szCs w:val="22"/>
          <w:lang w:val="pt-PT"/>
        </w:rPr>
      </w:pPr>
    </w:p>
    <w:p w:rsidR="00355379" w:rsidRPr="00BD0CEC" w:rsidRDefault="007B35BA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color w:val="000000"/>
          <w:sz w:val="22"/>
          <w:szCs w:val="22"/>
          <w:lang w:val="pt-PT"/>
        </w:rPr>
      </w:pPr>
      <w:r w:rsidRPr="00BD0CEC">
        <w:rPr>
          <w:rFonts w:ascii="Tahoma" w:hAnsi="Tahoma" w:cs="Tahoma"/>
          <w:sz w:val="22"/>
          <w:szCs w:val="22"/>
          <w:lang w:val="pt-PT"/>
        </w:rPr>
        <w:t xml:space="preserve">Toda a informação disponível em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"http://www.phc.pt/portal/programs/ewpview.aspx?codigo=phc_sibs" </w:instrText>
      </w:r>
      <w:r w:rsidR="00B94BFA">
        <w:fldChar w:fldCharType="separate"/>
      </w:r>
      <w:r w:rsidR="00581F6C" w:rsidRPr="00BD0CEC">
        <w:rPr>
          <w:rStyle w:val="Hyperlink"/>
          <w:rFonts w:ascii="Tahoma" w:hAnsi="Tahoma" w:cs="Tahoma"/>
          <w:sz w:val="22"/>
          <w:szCs w:val="22"/>
          <w:lang w:val="pt-PT"/>
        </w:rPr>
        <w:t>www.phc.pt</w:t>
      </w:r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581F6C" w:rsidRPr="00BD0CEC">
        <w:rPr>
          <w:rFonts w:ascii="Tahoma" w:hAnsi="Tahoma" w:cs="Tahoma"/>
          <w:sz w:val="22"/>
          <w:szCs w:val="22"/>
          <w:lang w:val="pt-PT"/>
        </w:rPr>
        <w:t xml:space="preserve"> e</w:t>
      </w:r>
      <w:r w:rsidRPr="00BD0CEC">
        <w:rPr>
          <w:rFonts w:ascii="Tahoma" w:hAnsi="Tahoma" w:cs="Tahoma"/>
          <w:sz w:val="22"/>
          <w:szCs w:val="22"/>
          <w:lang w:val="pt-PT"/>
        </w:rPr>
        <w:t xml:space="preserve"> em</w:t>
      </w:r>
      <w:r w:rsidR="00C46257">
        <w:rPr>
          <w:rFonts w:ascii="Tahoma" w:hAnsi="Tahoma" w:cs="Tahoma"/>
          <w:sz w:val="22"/>
          <w:szCs w:val="22"/>
          <w:lang w:val="pt-PT"/>
        </w:rPr>
        <w:t xml:space="preserve"> </w:t>
      </w:r>
      <w:r w:rsidR="00B94BFA">
        <w:fldChar w:fldCharType="begin"/>
      </w:r>
      <w:r w:rsidR="00B94BFA" w:rsidRPr="00AF4EF7">
        <w:rPr>
          <w:lang w:val="pt-PT"/>
        </w:rPr>
        <w:instrText xml:space="preserve"> HYPERLINK "http://www.mbdox.pt" </w:instrText>
      </w:r>
      <w:r w:rsidR="00B94BFA">
        <w:fldChar w:fldCharType="separate"/>
      </w:r>
      <w:r w:rsidR="00C46257" w:rsidRPr="00464DF8">
        <w:rPr>
          <w:rStyle w:val="Hyperlink"/>
          <w:rFonts w:ascii="Tahoma" w:hAnsi="Tahoma" w:cs="Tahoma"/>
          <w:sz w:val="22"/>
          <w:szCs w:val="22"/>
          <w:lang w:val="pt-PT"/>
        </w:rPr>
        <w:t>www.mbdox.pt</w:t>
      </w:r>
      <w:r w:rsidR="00B94BFA">
        <w:rPr>
          <w:rStyle w:val="Hyperlink"/>
          <w:rFonts w:ascii="Tahoma" w:hAnsi="Tahoma" w:cs="Tahoma"/>
          <w:sz w:val="22"/>
          <w:szCs w:val="22"/>
          <w:lang w:val="pt-PT"/>
        </w:rPr>
        <w:fldChar w:fldCharType="end"/>
      </w:r>
      <w:r w:rsidR="00C46257">
        <w:rPr>
          <w:rFonts w:ascii="Tahoma" w:hAnsi="Tahoma" w:cs="Tahoma"/>
          <w:sz w:val="22"/>
          <w:szCs w:val="22"/>
          <w:lang w:val="pt-PT"/>
        </w:rPr>
        <w:t>.</w:t>
      </w:r>
    </w:p>
    <w:p w:rsidR="00355379" w:rsidRPr="00D3450A" w:rsidRDefault="00355379" w:rsidP="00BD0CEC">
      <w:pPr>
        <w:spacing w:line="312" w:lineRule="auto"/>
        <w:jc w:val="both"/>
        <w:rPr>
          <w:rFonts w:ascii="Tahoma" w:hAnsi="Tahoma" w:cs="Tahoma"/>
          <w:lang w:val="pt-PT"/>
        </w:rPr>
      </w:pPr>
    </w:p>
    <w:p w:rsidR="00355379" w:rsidRPr="00D3450A" w:rsidRDefault="007B35BA" w:rsidP="00C46257">
      <w:pPr>
        <w:spacing w:line="312" w:lineRule="auto"/>
        <w:jc w:val="center"/>
        <w:outlineLvl w:val="0"/>
        <w:rPr>
          <w:rFonts w:ascii="Tahoma" w:hAnsi="Tahoma" w:cs="Tahoma"/>
          <w:sz w:val="20"/>
          <w:szCs w:val="20"/>
          <w:lang w:val="pt-PT"/>
        </w:rPr>
      </w:pPr>
      <w:r w:rsidRPr="007B35BA">
        <w:rPr>
          <w:rFonts w:ascii="Tahoma" w:hAnsi="Tahoma" w:cs="Tahoma"/>
          <w:sz w:val="20"/>
          <w:szCs w:val="20"/>
          <w:lang w:val="pt-PT"/>
        </w:rPr>
        <w:t>--fim--</w:t>
      </w:r>
    </w:p>
    <w:p w:rsidR="00355379" w:rsidRPr="00D3450A" w:rsidRDefault="00355379" w:rsidP="00BD0CEC">
      <w:pPr>
        <w:spacing w:line="312" w:lineRule="auto"/>
        <w:jc w:val="both"/>
        <w:outlineLvl w:val="0"/>
        <w:rPr>
          <w:rFonts w:ascii="Tahoma" w:hAnsi="Tahoma" w:cs="Tahoma"/>
          <w:b/>
          <w:sz w:val="20"/>
          <w:szCs w:val="20"/>
          <w:lang w:val="pt-PT"/>
        </w:rPr>
      </w:pPr>
    </w:p>
    <w:p w:rsidR="00355379" w:rsidRPr="00D3450A" w:rsidRDefault="007B35BA" w:rsidP="00BD0CEC">
      <w:pPr>
        <w:spacing w:line="312" w:lineRule="auto"/>
        <w:jc w:val="both"/>
        <w:outlineLvl w:val="0"/>
        <w:rPr>
          <w:rFonts w:ascii="Tahoma" w:hAnsi="Tahoma" w:cs="Tahoma"/>
          <w:b/>
          <w:sz w:val="20"/>
          <w:szCs w:val="20"/>
          <w:lang w:val="pt-PT"/>
        </w:rPr>
      </w:pPr>
      <w:r w:rsidRPr="007B35BA">
        <w:rPr>
          <w:rFonts w:ascii="Tahoma" w:hAnsi="Tahoma" w:cs="Tahoma"/>
          <w:b/>
          <w:sz w:val="20"/>
          <w:szCs w:val="20"/>
          <w:lang w:val="pt-PT"/>
        </w:rPr>
        <w:t xml:space="preserve">Sobre </w:t>
      </w:r>
      <w:proofErr w:type="gramStart"/>
      <w:r w:rsidRPr="007B35BA">
        <w:rPr>
          <w:rFonts w:ascii="Tahoma" w:hAnsi="Tahoma" w:cs="Tahoma"/>
          <w:b/>
          <w:sz w:val="20"/>
          <w:szCs w:val="20"/>
          <w:lang w:val="pt-PT"/>
        </w:rPr>
        <w:t>a PHC</w:t>
      </w:r>
      <w:proofErr w:type="gramEnd"/>
    </w:p>
    <w:p w:rsidR="00F66DF1" w:rsidRPr="00D3450A" w:rsidRDefault="007B35BA" w:rsidP="00BD0CEC">
      <w:pPr>
        <w:spacing w:line="312" w:lineRule="auto"/>
        <w:jc w:val="both"/>
        <w:rPr>
          <w:rStyle w:val="glabel"/>
          <w:rFonts w:ascii="Tahoma" w:hAnsi="Tahoma" w:cs="Tahoma"/>
          <w:sz w:val="20"/>
          <w:szCs w:val="20"/>
          <w:lang w:val="pt-PT"/>
        </w:rPr>
      </w:pPr>
      <w:proofErr w:type="gramStart"/>
      <w:r>
        <w:rPr>
          <w:rFonts w:ascii="Tahoma" w:hAnsi="Tahoma" w:cs="Tahoma"/>
          <w:sz w:val="20"/>
          <w:szCs w:val="20"/>
          <w:lang w:val="pt-PT"/>
        </w:rPr>
        <w:t>A PHC</w:t>
      </w:r>
      <w:proofErr w:type="gramEnd"/>
      <w:r>
        <w:rPr>
          <w:rFonts w:ascii="Tahoma" w:hAnsi="Tahoma" w:cs="Tahoma"/>
          <w:sz w:val="20"/>
          <w:szCs w:val="20"/>
          <w:lang w:val="pt-PT"/>
        </w:rPr>
        <w:t xml:space="preserve"> Software, S.A. dedica-se em exclusivo ao desenvolvimento de software de gestão. </w:t>
      </w:r>
      <w:r>
        <w:rPr>
          <w:rStyle w:val="glabel"/>
          <w:rFonts w:ascii="Tahoma" w:hAnsi="Tahoma" w:cs="Tahoma"/>
          <w:sz w:val="20"/>
          <w:szCs w:val="20"/>
          <w:lang w:val="pt-PT"/>
        </w:rPr>
        <w:t xml:space="preserve">A sua </w:t>
      </w:r>
      <w:r>
        <w:rPr>
          <w:rStyle w:val="glabel"/>
          <w:rFonts w:ascii="Tahoma" w:hAnsi="Tahoma" w:cs="Tahoma"/>
          <w:b/>
          <w:bCs/>
          <w:sz w:val="20"/>
          <w:szCs w:val="20"/>
          <w:lang w:val="pt-PT"/>
        </w:rPr>
        <w:t>missão</w:t>
      </w:r>
      <w:r>
        <w:rPr>
          <w:rStyle w:val="glabel"/>
          <w:rFonts w:ascii="Tahoma" w:hAnsi="Tahoma" w:cs="Tahoma"/>
          <w:sz w:val="20"/>
          <w:szCs w:val="20"/>
          <w:lang w:val="pt-PT"/>
        </w:rPr>
        <w:t xml:space="preserve"> é disponibilizar a melhor solução tecnológica de gestão para permitir aos seus clientes aumentar a sua rentabilidade.</w:t>
      </w:r>
    </w:p>
    <w:p w:rsidR="00F66DF1" w:rsidRPr="00D3450A" w:rsidRDefault="007B35BA" w:rsidP="00BD0CEC">
      <w:pPr>
        <w:spacing w:line="312" w:lineRule="auto"/>
        <w:jc w:val="both"/>
        <w:rPr>
          <w:rFonts w:ascii="Tahoma" w:hAnsi="Tahoma" w:cs="Tahoma"/>
          <w:sz w:val="20"/>
          <w:szCs w:val="20"/>
          <w:lang w:val="pt-PT"/>
        </w:rPr>
      </w:pPr>
      <w:r>
        <w:rPr>
          <w:rFonts w:ascii="Tahoma" w:hAnsi="Tahoma" w:cs="Tahoma"/>
          <w:sz w:val="20"/>
          <w:szCs w:val="20"/>
          <w:lang w:val="pt-PT"/>
        </w:rPr>
        <w:t xml:space="preserve">Criada em 1989, a empresa conta, actualmente, com cerca de 131 colaboradores, distribuídos pelas suas instalações de Sevilha, Lisboa, Porto e Maputo, e com mais de 357 Parceiros. O crescimento </w:t>
      </w:r>
      <w:proofErr w:type="gramStart"/>
      <w:r>
        <w:rPr>
          <w:rFonts w:ascii="Tahoma" w:hAnsi="Tahoma" w:cs="Tahoma"/>
          <w:sz w:val="20"/>
          <w:szCs w:val="20"/>
          <w:lang w:val="pt-PT"/>
        </w:rPr>
        <w:t>da PHC</w:t>
      </w:r>
      <w:proofErr w:type="gramEnd"/>
      <w:r>
        <w:rPr>
          <w:rFonts w:ascii="Tahoma" w:hAnsi="Tahoma" w:cs="Tahoma"/>
          <w:sz w:val="20"/>
          <w:szCs w:val="20"/>
          <w:lang w:val="pt-PT"/>
        </w:rPr>
        <w:t xml:space="preserve"> tem sido visível, sendo o seu software utilizado por cerca de 25.430 mil Clientes, num total de mais de 118 mil utilizadores.</w:t>
      </w:r>
    </w:p>
    <w:p w:rsidR="00F66DF1" w:rsidRPr="00D3450A" w:rsidRDefault="007B35BA" w:rsidP="00BD0CEC">
      <w:pPr>
        <w:spacing w:line="312" w:lineRule="auto"/>
        <w:jc w:val="both"/>
        <w:rPr>
          <w:rStyle w:val="glabel"/>
          <w:rFonts w:ascii="Tahoma" w:hAnsi="Tahoma" w:cs="Tahoma"/>
          <w:sz w:val="20"/>
          <w:szCs w:val="20"/>
          <w:lang w:val="pt-PT"/>
        </w:rPr>
      </w:pPr>
      <w:r>
        <w:rPr>
          <w:rStyle w:val="glabel"/>
          <w:rFonts w:ascii="Tahoma" w:hAnsi="Tahoma" w:cs="Tahoma"/>
          <w:sz w:val="20"/>
          <w:szCs w:val="20"/>
          <w:lang w:val="pt-PT"/>
        </w:rPr>
        <w:t xml:space="preserve">É a busca constante pela satisfação dos clientes, através da qualidade do </w:t>
      </w:r>
      <w:proofErr w:type="gramStart"/>
      <w:r>
        <w:rPr>
          <w:rStyle w:val="glabel"/>
          <w:rFonts w:ascii="Tahoma" w:hAnsi="Tahoma" w:cs="Tahoma"/>
          <w:sz w:val="20"/>
          <w:szCs w:val="20"/>
          <w:lang w:val="pt-PT"/>
        </w:rPr>
        <w:t>software</w:t>
      </w:r>
      <w:proofErr w:type="gramEnd"/>
      <w:r>
        <w:rPr>
          <w:rStyle w:val="glabel"/>
          <w:rFonts w:ascii="Tahoma" w:hAnsi="Tahoma" w:cs="Tahoma"/>
          <w:sz w:val="20"/>
          <w:szCs w:val="20"/>
          <w:lang w:val="pt-PT"/>
        </w:rPr>
        <w:t xml:space="preserve"> e da sua facilidade de utilização, que motiva a PHC para a permanente inovação, inserindo nas suas aplicações novas tecnologias e novas abordagens que permitem concretizar a sua missão.</w:t>
      </w:r>
    </w:p>
    <w:p w:rsidR="00F66DF1" w:rsidRPr="00D3450A" w:rsidRDefault="00F66DF1" w:rsidP="00BD0CEC">
      <w:pPr>
        <w:spacing w:line="312" w:lineRule="auto"/>
        <w:jc w:val="both"/>
        <w:rPr>
          <w:rFonts w:ascii="Tahoma" w:hAnsi="Tahoma" w:cs="Tahoma"/>
          <w:b/>
          <w:noProof/>
          <w:sz w:val="20"/>
          <w:szCs w:val="20"/>
          <w:lang w:val="pt-PT"/>
        </w:rPr>
      </w:pPr>
    </w:p>
    <w:p w:rsidR="00B1087E" w:rsidRDefault="00B1087E" w:rsidP="00BD0CEC">
      <w:pPr>
        <w:spacing w:line="312" w:lineRule="auto"/>
        <w:jc w:val="both"/>
        <w:outlineLvl w:val="0"/>
        <w:rPr>
          <w:rFonts w:ascii="Tahoma" w:hAnsi="Tahoma" w:cs="Tahoma"/>
          <w:b/>
          <w:sz w:val="20"/>
          <w:szCs w:val="20"/>
          <w:lang w:val="pt-PT"/>
        </w:rPr>
      </w:pPr>
    </w:p>
    <w:p w:rsidR="00581F6C" w:rsidRPr="00D3450A" w:rsidRDefault="00581F6C" w:rsidP="00BD0CEC">
      <w:pPr>
        <w:spacing w:line="312" w:lineRule="auto"/>
        <w:jc w:val="both"/>
        <w:outlineLvl w:val="0"/>
        <w:rPr>
          <w:rFonts w:ascii="Tahoma" w:hAnsi="Tahoma" w:cs="Tahoma"/>
          <w:b/>
          <w:sz w:val="20"/>
          <w:szCs w:val="20"/>
          <w:lang w:val="pt-PT"/>
        </w:rPr>
      </w:pPr>
      <w:r w:rsidRPr="00D3450A">
        <w:rPr>
          <w:rFonts w:ascii="Tahoma" w:hAnsi="Tahoma" w:cs="Tahoma"/>
          <w:b/>
          <w:sz w:val="20"/>
          <w:szCs w:val="20"/>
          <w:lang w:val="pt-PT"/>
        </w:rPr>
        <w:t>Sobre a SIBS Processos</w:t>
      </w:r>
    </w:p>
    <w:p w:rsidR="0038443D" w:rsidRPr="00C46257" w:rsidRDefault="007B35BA" w:rsidP="00BD0CEC">
      <w:pPr>
        <w:widowControl w:val="0"/>
        <w:autoSpaceDE w:val="0"/>
        <w:autoSpaceDN w:val="0"/>
        <w:adjustRightInd w:val="0"/>
        <w:spacing w:line="312" w:lineRule="auto"/>
        <w:jc w:val="both"/>
        <w:rPr>
          <w:rFonts w:ascii="Tahoma" w:hAnsi="Tahoma" w:cs="Tahoma"/>
          <w:sz w:val="20"/>
          <w:szCs w:val="20"/>
          <w:lang w:val="pt-PT"/>
        </w:rPr>
      </w:pPr>
      <w:r w:rsidRPr="00C46257">
        <w:rPr>
          <w:rFonts w:ascii="Tahoma" w:hAnsi="Tahoma" w:cs="Tahoma"/>
          <w:sz w:val="20"/>
          <w:szCs w:val="20"/>
          <w:lang w:val="pt-PT"/>
        </w:rPr>
        <w:t xml:space="preserve">A SIBS PROCESSOS, empresa detida a 100% pela SIBS SGPS SA, a holding do Grupo SIBS, presta serviços de tratamento de processos de negócio. Iniciou a sua actividade pelo </w:t>
      </w:r>
      <w:r w:rsidRPr="00C46257">
        <w:rPr>
          <w:rFonts w:ascii="Tahoma" w:hAnsi="Tahoma" w:cs="Tahoma"/>
          <w:sz w:val="20"/>
          <w:szCs w:val="20"/>
          <w:lang w:val="pt-PT"/>
        </w:rPr>
        <w:lastRenderedPageBreak/>
        <w:t xml:space="preserve">tratamento do processamento de cheques, permitindo a Portugal ser o primeiro país da Europa a efectuar este tratamento com </w:t>
      </w:r>
      <w:bookmarkStart w:id="0" w:name="_GoBack"/>
      <w:bookmarkEnd w:id="0"/>
      <w:r w:rsidRPr="00C46257">
        <w:rPr>
          <w:rFonts w:ascii="Tahoma" w:hAnsi="Tahoma" w:cs="Tahoma"/>
          <w:sz w:val="20"/>
          <w:szCs w:val="20"/>
          <w:lang w:val="pt-PT"/>
        </w:rPr>
        <w:t>base em imagens. Actualmente a SIBS PROCESSOS presta serviços de tratamento de processos de negócio relacionado com pagamentos em papel ou electrónico, tratamento de dados de clientes, de produtos financeiros e de suporte aos balcões financeiros, utilizando intensivamente tecnologia de gestão de processos, de digitalização e de arquivo digital.</w:t>
      </w:r>
    </w:p>
    <w:p w:rsidR="00581F6C" w:rsidRPr="00D3450A" w:rsidRDefault="00581F6C" w:rsidP="00BD0CEC">
      <w:pPr>
        <w:spacing w:line="312" w:lineRule="auto"/>
        <w:jc w:val="both"/>
        <w:rPr>
          <w:rFonts w:ascii="Tahoma" w:hAnsi="Tahoma" w:cs="Tahoma"/>
          <w:noProof/>
          <w:sz w:val="20"/>
          <w:szCs w:val="20"/>
          <w:lang w:val="pt-PT"/>
        </w:rPr>
      </w:pPr>
    </w:p>
    <w:p w:rsidR="00190B57" w:rsidRPr="00253299" w:rsidRDefault="00190B57" w:rsidP="00355379">
      <w:pPr>
        <w:rPr>
          <w:rFonts w:ascii="Tahoma" w:hAnsi="Tahoma" w:cs="Tahoma"/>
          <w:sz w:val="20"/>
          <w:lang w:val="pt-PT"/>
        </w:rPr>
      </w:pPr>
    </w:p>
    <w:sectPr w:rsidR="00190B57" w:rsidRPr="00253299" w:rsidSect="007B35BA">
      <w:head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4BFA" w:rsidRDefault="00B94BFA">
      <w:r>
        <w:separator/>
      </w:r>
    </w:p>
  </w:endnote>
  <w:endnote w:type="continuationSeparator" w:id="0">
    <w:p w:rsidR="00B94BFA" w:rsidRDefault="00B94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4BFA" w:rsidRDefault="00B94BFA">
      <w:r>
        <w:separator/>
      </w:r>
    </w:p>
  </w:footnote>
  <w:footnote w:type="continuationSeparator" w:id="0">
    <w:p w:rsidR="00B94BFA" w:rsidRDefault="00B94B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1E4E" w:rsidRDefault="00B1087E" w:rsidP="00581F6C">
    <w:pPr>
      <w:pStyle w:val="Header"/>
      <w:rPr>
        <w:noProof/>
      </w:rPr>
    </w:pPr>
    <w:r>
      <w:rPr>
        <w:noProof/>
        <w:lang w:val="pt-PT" w:eastAsia="pt-PT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1824990</wp:posOffset>
          </wp:positionH>
          <wp:positionV relativeFrom="paragraph">
            <wp:posOffset>-316230</wp:posOffset>
          </wp:positionV>
          <wp:extent cx="1749425" cy="904875"/>
          <wp:effectExtent l="19050" t="0" r="3175" b="0"/>
          <wp:wrapSquare wrapText="bothSides"/>
          <wp:docPr id="3" name="Picture 1" descr="MB DOX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B DOX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9425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pt-PT" w:eastAsia="pt-PT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4120515</wp:posOffset>
          </wp:positionH>
          <wp:positionV relativeFrom="paragraph">
            <wp:posOffset>-135255</wp:posOffset>
          </wp:positionV>
          <wp:extent cx="1771650" cy="438150"/>
          <wp:effectExtent l="19050" t="0" r="0" b="0"/>
          <wp:wrapSquare wrapText="bothSides"/>
          <wp:docPr id="2" name="Picture 1" descr="Description: Y:\IMAGEM INSTITUCIONAL\LOGOTIPOS\LOGOS SIBS E MB\EMPRESAS SIBS\SIBS_PROCESSOS\CMYK\negativo_CMYK\SIBS_PROC_CMYK_n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scription: Y:\IMAGEM INSTITUCIONAL\LOGOTIPOS\LOGOS SIBS E MB\EMPRESAS SIBS\SIBS_PROCESSOS\CMYK\negativo_CMYK\SIBS_PROC_CMYK_neg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375" t="34592" r="12097" b="34271"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0CEC">
      <w:rPr>
        <w:noProof/>
        <w:lang w:val="pt-PT" w:eastAsia="pt-PT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-280035</wp:posOffset>
          </wp:positionH>
          <wp:positionV relativeFrom="paragraph">
            <wp:posOffset>-163830</wp:posOffset>
          </wp:positionV>
          <wp:extent cx="1136015" cy="571500"/>
          <wp:effectExtent l="19050" t="0" r="6985" b="0"/>
          <wp:wrapSquare wrapText="bothSides"/>
          <wp:docPr id="1" name="Picture 6" descr="\\Dfsserver\dfsroot\Public\Marketing\Imagens\LogosDiversos\PHC Brilhante 2007\logotipoPHC brigh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\\Dfsserver\dfsroot\Public\Marketing\Imagens\LogosDiversos\PHC Brilhante 2007\logotipoPHC bright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601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81F6C">
      <w:rPr>
        <w:noProof/>
      </w:rPr>
      <w:t xml:space="preserve">     </w:t>
    </w:r>
    <w:r w:rsidR="00581F6C">
      <w:rPr>
        <w:noProof/>
      </w:rPr>
      <w:tab/>
      <w:t xml:space="preserve">     </w:t>
    </w:r>
    <w:r w:rsidR="00121E4E">
      <w:rPr>
        <w:noProof/>
      </w:rPr>
      <w:t xml:space="preserve"> </w:t>
    </w:r>
  </w:p>
  <w:p w:rsidR="00121E4E" w:rsidRDefault="00121E4E" w:rsidP="00121E4E">
    <w:pPr>
      <w:pStyle w:val="Header"/>
      <w:jc w:val="right"/>
      <w:rPr>
        <w:noProof/>
      </w:rPr>
    </w:pPr>
  </w:p>
  <w:p w:rsidR="00BD0CEC" w:rsidRDefault="00BD0CEC" w:rsidP="00121E4E">
    <w:pPr>
      <w:pStyle w:val="Header"/>
      <w:jc w:val="right"/>
      <w:rPr>
        <w:rFonts w:ascii="Tahoma" w:hAnsi="Tahoma"/>
        <w:noProof/>
      </w:rPr>
    </w:pPr>
  </w:p>
  <w:p w:rsidR="00BD0CEC" w:rsidRDefault="00BD0CEC" w:rsidP="00121E4E">
    <w:pPr>
      <w:pStyle w:val="Header"/>
      <w:jc w:val="right"/>
      <w:rPr>
        <w:rFonts w:ascii="Tahoma" w:hAnsi="Tahoma"/>
        <w:noProof/>
      </w:rPr>
    </w:pPr>
  </w:p>
  <w:p w:rsidR="00581F6C" w:rsidRPr="005232CB" w:rsidRDefault="00581F6C" w:rsidP="00121E4E">
    <w:pPr>
      <w:pStyle w:val="Header"/>
      <w:jc w:val="right"/>
      <w:rPr>
        <w:rFonts w:ascii="Tahoma" w:hAnsi="Tahoma"/>
        <w:sz w:val="28"/>
        <w:szCs w:val="28"/>
      </w:rPr>
    </w:pPr>
    <w:r w:rsidRPr="005232CB">
      <w:rPr>
        <w:rFonts w:ascii="Tahoma" w:hAnsi="Tahoma"/>
        <w:noProof/>
      </w:rPr>
      <w:t>Comunicado de imprensa</w:t>
    </w:r>
  </w:p>
  <w:p w:rsidR="00581F6C" w:rsidRDefault="00581F6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8FEA06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68B94F30"/>
    <w:multiLevelType w:val="hybridMultilevel"/>
    <w:tmpl w:val="66D2EC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0276"/>
    <w:rsid w:val="00004F27"/>
    <w:rsid w:val="00121E4E"/>
    <w:rsid w:val="00136070"/>
    <w:rsid w:val="00190B57"/>
    <w:rsid w:val="00196712"/>
    <w:rsid w:val="00253299"/>
    <w:rsid w:val="00272E77"/>
    <w:rsid w:val="00286BA4"/>
    <w:rsid w:val="002B4B57"/>
    <w:rsid w:val="002F22F4"/>
    <w:rsid w:val="00304A82"/>
    <w:rsid w:val="00340808"/>
    <w:rsid w:val="00355379"/>
    <w:rsid w:val="0038443D"/>
    <w:rsid w:val="00397C01"/>
    <w:rsid w:val="003D77E3"/>
    <w:rsid w:val="00424A3A"/>
    <w:rsid w:val="005309F0"/>
    <w:rsid w:val="005639F0"/>
    <w:rsid w:val="00581F6C"/>
    <w:rsid w:val="00590825"/>
    <w:rsid w:val="005B44B9"/>
    <w:rsid w:val="005C52BA"/>
    <w:rsid w:val="005D6878"/>
    <w:rsid w:val="005F0276"/>
    <w:rsid w:val="00653E05"/>
    <w:rsid w:val="00695E3B"/>
    <w:rsid w:val="007231B1"/>
    <w:rsid w:val="007334B2"/>
    <w:rsid w:val="00736D24"/>
    <w:rsid w:val="00770499"/>
    <w:rsid w:val="00784628"/>
    <w:rsid w:val="007B0D18"/>
    <w:rsid w:val="007B35BA"/>
    <w:rsid w:val="00805F21"/>
    <w:rsid w:val="008551AC"/>
    <w:rsid w:val="00890B0F"/>
    <w:rsid w:val="009B76CC"/>
    <w:rsid w:val="009C3936"/>
    <w:rsid w:val="009D5913"/>
    <w:rsid w:val="00A175D0"/>
    <w:rsid w:val="00A673CC"/>
    <w:rsid w:val="00A703C5"/>
    <w:rsid w:val="00A94C5C"/>
    <w:rsid w:val="00AB0E8E"/>
    <w:rsid w:val="00AC7F58"/>
    <w:rsid w:val="00AF4EF7"/>
    <w:rsid w:val="00B1087E"/>
    <w:rsid w:val="00B928A7"/>
    <w:rsid w:val="00B94BFA"/>
    <w:rsid w:val="00BD0CEC"/>
    <w:rsid w:val="00C46257"/>
    <w:rsid w:val="00C81017"/>
    <w:rsid w:val="00CD6B79"/>
    <w:rsid w:val="00D3450A"/>
    <w:rsid w:val="00D80D18"/>
    <w:rsid w:val="00D91BE8"/>
    <w:rsid w:val="00DE4F0D"/>
    <w:rsid w:val="00E156B4"/>
    <w:rsid w:val="00E164E6"/>
    <w:rsid w:val="00E57C2A"/>
    <w:rsid w:val="00F153BB"/>
    <w:rsid w:val="00F66DF1"/>
    <w:rsid w:val="00F8524F"/>
    <w:rsid w:val="00F96AB4"/>
    <w:rsid w:val="00FD3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Spacing" w:qFormat="1"/>
    <w:lsdException w:name="List Paragraph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</w:latentStyles>
  <w:style w:type="paragraph" w:default="1" w:styleId="Normal">
    <w:name w:val="Normal"/>
    <w:qFormat/>
    <w:rsid w:val="005F0276"/>
    <w:rPr>
      <w:sz w:val="24"/>
      <w:szCs w:val="24"/>
      <w:lang w:val="en-US" w:eastAsia="en-US"/>
    </w:rPr>
  </w:style>
  <w:style w:type="paragraph" w:styleId="Heading2">
    <w:name w:val="heading 2"/>
    <w:basedOn w:val="Normal"/>
    <w:next w:val="Normal"/>
    <w:link w:val="Heading2Char"/>
    <w:qFormat/>
    <w:rsid w:val="00495929"/>
    <w:pPr>
      <w:keepNext/>
      <w:spacing w:before="240" w:after="60"/>
      <w:outlineLvl w:val="1"/>
    </w:pPr>
    <w:rPr>
      <w:rFonts w:ascii="Calibri" w:hAnsi="Calibri"/>
      <w:b/>
      <w:bCs/>
      <w:i/>
      <w:iCs/>
      <w:sz w:val="28"/>
      <w:szCs w:val="28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495929"/>
    <w:pPr>
      <w:keepNext/>
      <w:spacing w:before="240" w:after="60"/>
      <w:outlineLvl w:val="2"/>
    </w:pPr>
    <w:rPr>
      <w:rFonts w:ascii="Calibri" w:hAnsi="Calibri"/>
      <w:b/>
      <w:bCs/>
      <w:sz w:val="26"/>
      <w:szCs w:val="26"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495929"/>
    <w:pPr>
      <w:keepNext/>
      <w:spacing w:before="240" w:after="60"/>
      <w:outlineLvl w:val="3"/>
    </w:pPr>
    <w:rPr>
      <w:rFonts w:ascii="Cambria" w:hAnsi="Cambria"/>
      <w:b/>
      <w:b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semiHidden/>
    <w:rsid w:val="00495929"/>
    <w:rPr>
      <w:rFonts w:ascii="Calibri" w:eastAsia="Times New Roman" w:hAnsi="Calibr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semiHidden/>
    <w:rsid w:val="00495929"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semiHidden/>
    <w:rsid w:val="00495929"/>
    <w:rPr>
      <w:rFonts w:ascii="Cambria" w:eastAsia="Times New Roman" w:hAnsi="Cambria" w:cs="Times New Roman"/>
      <w:b/>
      <w:bCs/>
      <w:sz w:val="28"/>
      <w:szCs w:val="28"/>
    </w:rPr>
  </w:style>
  <w:style w:type="character" w:styleId="Hyperlink">
    <w:name w:val="Hyperlink"/>
    <w:rsid w:val="005F0276"/>
    <w:rPr>
      <w:color w:val="0000FF"/>
      <w:u w:val="single"/>
    </w:rPr>
  </w:style>
  <w:style w:type="character" w:customStyle="1" w:styleId="Frocha">
    <w:name w:val="Frocha"/>
    <w:semiHidden/>
    <w:rsid w:val="005F0276"/>
    <w:rPr>
      <w:rFonts w:ascii="Arial" w:hAnsi="Arial" w:cs="Arial"/>
      <w:color w:val="auto"/>
      <w:sz w:val="20"/>
      <w:szCs w:val="20"/>
    </w:rPr>
  </w:style>
  <w:style w:type="paragraph" w:styleId="Header">
    <w:name w:val="header"/>
    <w:basedOn w:val="Normal"/>
    <w:rsid w:val="005F0276"/>
    <w:pPr>
      <w:tabs>
        <w:tab w:val="center" w:pos="4252"/>
        <w:tab w:val="right" w:pos="8504"/>
      </w:tabs>
    </w:pPr>
  </w:style>
  <w:style w:type="paragraph" w:styleId="Footer">
    <w:name w:val="footer"/>
    <w:basedOn w:val="Normal"/>
    <w:rsid w:val="005F0276"/>
    <w:pPr>
      <w:tabs>
        <w:tab w:val="center" w:pos="4252"/>
        <w:tab w:val="right" w:pos="8504"/>
      </w:tabs>
    </w:pPr>
  </w:style>
  <w:style w:type="paragraph" w:styleId="DocumentMap">
    <w:name w:val="Document Map"/>
    <w:basedOn w:val="Normal"/>
    <w:semiHidden/>
    <w:rsid w:val="00E12FDC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Strong">
    <w:name w:val="Strong"/>
    <w:uiPriority w:val="22"/>
    <w:qFormat/>
    <w:rsid w:val="004224CE"/>
    <w:rPr>
      <w:b/>
      <w:bCs/>
    </w:rPr>
  </w:style>
  <w:style w:type="character" w:styleId="CommentReference">
    <w:name w:val="annotation reference"/>
    <w:semiHidden/>
    <w:rsid w:val="005C3ED5"/>
    <w:rPr>
      <w:sz w:val="16"/>
      <w:szCs w:val="16"/>
    </w:rPr>
  </w:style>
  <w:style w:type="paragraph" w:styleId="CommentText">
    <w:name w:val="annotation text"/>
    <w:basedOn w:val="Normal"/>
    <w:semiHidden/>
    <w:rsid w:val="005C3ED5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5C3ED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5C3ED5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5566F1"/>
    <w:rPr>
      <w:rFonts w:ascii="Tahoma" w:hAnsi="Tahoma" w:cs="Tahoma"/>
      <w:sz w:val="16"/>
      <w:szCs w:val="16"/>
    </w:rPr>
  </w:style>
  <w:style w:type="character" w:customStyle="1" w:styleId="A8">
    <w:name w:val="A8"/>
    <w:uiPriority w:val="99"/>
    <w:rsid w:val="00C027FD"/>
    <w:rPr>
      <w:rFonts w:cs="Lucida Sans Unicode"/>
      <w:color w:val="57585A"/>
      <w:sz w:val="18"/>
      <w:szCs w:val="18"/>
    </w:rPr>
  </w:style>
  <w:style w:type="paragraph" w:customStyle="1" w:styleId="Pa0">
    <w:name w:val="Pa0"/>
    <w:basedOn w:val="Normal"/>
    <w:next w:val="Normal"/>
    <w:uiPriority w:val="99"/>
    <w:rsid w:val="00C027FD"/>
    <w:pPr>
      <w:widowControl w:val="0"/>
      <w:autoSpaceDE w:val="0"/>
      <w:autoSpaceDN w:val="0"/>
      <w:adjustRightInd w:val="0"/>
      <w:spacing w:line="241" w:lineRule="atLeast"/>
    </w:pPr>
    <w:rPr>
      <w:rFonts w:ascii="Lucida Sans Unicode" w:hAnsi="Lucida Sans Unicode"/>
    </w:rPr>
  </w:style>
  <w:style w:type="paragraph" w:customStyle="1" w:styleId="MediumGrid21">
    <w:name w:val="Medium Grid 21"/>
    <w:uiPriority w:val="1"/>
    <w:qFormat/>
    <w:rsid w:val="00483C1B"/>
    <w:rPr>
      <w:rFonts w:ascii="Cambria" w:eastAsia="Cambria" w:hAnsi="Cambria"/>
      <w:sz w:val="22"/>
      <w:szCs w:val="22"/>
      <w:lang w:eastAsia="en-US"/>
    </w:rPr>
  </w:style>
  <w:style w:type="character" w:customStyle="1" w:styleId="glabel">
    <w:name w:val="glabel"/>
    <w:rsid w:val="00F66DF1"/>
  </w:style>
  <w:style w:type="paragraph" w:styleId="ListParagraph">
    <w:name w:val="List Paragraph"/>
    <w:basedOn w:val="Normal"/>
    <w:qFormat/>
    <w:rsid w:val="00581F6C"/>
    <w:pPr>
      <w:ind w:left="708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Spacing" w:qFormat="1"/>
    <w:lsdException w:name="List Paragraph" w:qFormat="1"/>
    <w:lsdException w:name="Quote" w:qFormat="1"/>
    <w:lsdException w:name="Intense Quote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</w:latentStyles>
  <w:style w:type="paragraph" w:default="1" w:styleId="Normal">
    <w:name w:val="Normal"/>
    <w:qFormat/>
    <w:rsid w:val="005F0276"/>
    <w:rPr>
      <w:sz w:val="24"/>
      <w:szCs w:val="24"/>
      <w:lang w:val="en-US" w:eastAsia="en-US"/>
    </w:rPr>
  </w:style>
  <w:style w:type="paragraph" w:styleId="Heading2">
    <w:name w:val="heading 2"/>
    <w:basedOn w:val="Normal"/>
    <w:next w:val="Normal"/>
    <w:link w:val="Heading2Char"/>
    <w:qFormat/>
    <w:rsid w:val="00495929"/>
    <w:pPr>
      <w:keepNext/>
      <w:spacing w:before="240" w:after="60"/>
      <w:outlineLvl w:val="1"/>
    </w:pPr>
    <w:rPr>
      <w:rFonts w:ascii="Calibri" w:hAnsi="Calibri"/>
      <w:b/>
      <w:bCs/>
      <w:i/>
      <w:iCs/>
      <w:sz w:val="28"/>
      <w:szCs w:val="28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495929"/>
    <w:pPr>
      <w:keepNext/>
      <w:spacing w:before="240" w:after="60"/>
      <w:outlineLvl w:val="2"/>
    </w:pPr>
    <w:rPr>
      <w:rFonts w:ascii="Calibri" w:hAnsi="Calibri"/>
      <w:b/>
      <w:bCs/>
      <w:sz w:val="26"/>
      <w:szCs w:val="26"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495929"/>
    <w:pPr>
      <w:keepNext/>
      <w:spacing w:before="240" w:after="60"/>
      <w:outlineLvl w:val="3"/>
    </w:pPr>
    <w:rPr>
      <w:rFonts w:ascii="Cambria" w:hAnsi="Cambria"/>
      <w:b/>
      <w:b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semiHidden/>
    <w:rsid w:val="00495929"/>
    <w:rPr>
      <w:rFonts w:ascii="Calibri" w:eastAsia="Times New Roman" w:hAnsi="Calibr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semiHidden/>
    <w:rsid w:val="00495929"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semiHidden/>
    <w:rsid w:val="00495929"/>
    <w:rPr>
      <w:rFonts w:ascii="Cambria" w:eastAsia="Times New Roman" w:hAnsi="Cambria" w:cs="Times New Roman"/>
      <w:b/>
      <w:bCs/>
      <w:sz w:val="28"/>
      <w:szCs w:val="28"/>
    </w:rPr>
  </w:style>
  <w:style w:type="character" w:styleId="Hyperlink">
    <w:name w:val="Hyperlink"/>
    <w:rsid w:val="005F0276"/>
    <w:rPr>
      <w:color w:val="0000FF"/>
      <w:u w:val="single"/>
    </w:rPr>
  </w:style>
  <w:style w:type="character" w:customStyle="1" w:styleId="Frocha">
    <w:name w:val="Frocha"/>
    <w:semiHidden/>
    <w:rsid w:val="005F0276"/>
    <w:rPr>
      <w:rFonts w:ascii="Arial" w:hAnsi="Arial" w:cs="Arial"/>
      <w:color w:val="auto"/>
      <w:sz w:val="20"/>
      <w:szCs w:val="20"/>
    </w:rPr>
  </w:style>
  <w:style w:type="paragraph" w:styleId="Header">
    <w:name w:val="header"/>
    <w:basedOn w:val="Normal"/>
    <w:rsid w:val="005F0276"/>
    <w:pPr>
      <w:tabs>
        <w:tab w:val="center" w:pos="4252"/>
        <w:tab w:val="right" w:pos="8504"/>
      </w:tabs>
    </w:pPr>
  </w:style>
  <w:style w:type="paragraph" w:styleId="Footer">
    <w:name w:val="footer"/>
    <w:basedOn w:val="Normal"/>
    <w:rsid w:val="005F0276"/>
    <w:pPr>
      <w:tabs>
        <w:tab w:val="center" w:pos="4252"/>
        <w:tab w:val="right" w:pos="8504"/>
      </w:tabs>
    </w:pPr>
  </w:style>
  <w:style w:type="paragraph" w:styleId="DocumentMap">
    <w:name w:val="Document Map"/>
    <w:basedOn w:val="Normal"/>
    <w:semiHidden/>
    <w:rsid w:val="00E12FDC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Strong">
    <w:name w:val="Strong"/>
    <w:uiPriority w:val="22"/>
    <w:qFormat/>
    <w:rsid w:val="004224CE"/>
    <w:rPr>
      <w:b/>
      <w:bCs/>
    </w:rPr>
  </w:style>
  <w:style w:type="character" w:styleId="CommentReference">
    <w:name w:val="annotation reference"/>
    <w:semiHidden/>
    <w:rsid w:val="005C3ED5"/>
    <w:rPr>
      <w:sz w:val="16"/>
      <w:szCs w:val="16"/>
    </w:rPr>
  </w:style>
  <w:style w:type="paragraph" w:styleId="CommentText">
    <w:name w:val="annotation text"/>
    <w:basedOn w:val="Normal"/>
    <w:semiHidden/>
    <w:rsid w:val="005C3ED5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5C3ED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5C3ED5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5566F1"/>
    <w:rPr>
      <w:rFonts w:ascii="Tahoma" w:hAnsi="Tahoma" w:cs="Tahoma"/>
      <w:sz w:val="16"/>
      <w:szCs w:val="16"/>
    </w:rPr>
  </w:style>
  <w:style w:type="character" w:customStyle="1" w:styleId="A8">
    <w:name w:val="A8"/>
    <w:uiPriority w:val="99"/>
    <w:rsid w:val="00C027FD"/>
    <w:rPr>
      <w:rFonts w:cs="Lucida Sans Unicode"/>
      <w:color w:val="57585A"/>
      <w:sz w:val="18"/>
      <w:szCs w:val="18"/>
    </w:rPr>
  </w:style>
  <w:style w:type="paragraph" w:customStyle="1" w:styleId="Pa0">
    <w:name w:val="Pa0"/>
    <w:basedOn w:val="Normal"/>
    <w:next w:val="Normal"/>
    <w:uiPriority w:val="99"/>
    <w:rsid w:val="00C027FD"/>
    <w:pPr>
      <w:widowControl w:val="0"/>
      <w:autoSpaceDE w:val="0"/>
      <w:autoSpaceDN w:val="0"/>
      <w:adjustRightInd w:val="0"/>
      <w:spacing w:line="241" w:lineRule="atLeast"/>
    </w:pPr>
    <w:rPr>
      <w:rFonts w:ascii="Lucida Sans Unicode" w:hAnsi="Lucida Sans Unicode"/>
    </w:rPr>
  </w:style>
  <w:style w:type="paragraph" w:customStyle="1" w:styleId="MediumGrid21">
    <w:name w:val="Medium Grid 21"/>
    <w:uiPriority w:val="1"/>
    <w:qFormat/>
    <w:rsid w:val="00483C1B"/>
    <w:rPr>
      <w:rFonts w:ascii="Cambria" w:eastAsia="Cambria" w:hAnsi="Cambria"/>
      <w:sz w:val="22"/>
      <w:szCs w:val="22"/>
      <w:lang w:eastAsia="en-US"/>
    </w:rPr>
  </w:style>
  <w:style w:type="character" w:customStyle="1" w:styleId="glabel">
    <w:name w:val="glabel"/>
    <w:rsid w:val="00F66DF1"/>
  </w:style>
  <w:style w:type="paragraph" w:styleId="ListParagraph">
    <w:name w:val="List Paragraph"/>
    <w:basedOn w:val="Normal"/>
    <w:qFormat/>
    <w:rsid w:val="00581F6C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://www.phc.pt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sibs.pt/pt/fps/grupo_sibs/SIBSProcessos.htm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58C31-1B45-4505-A787-D61F85360C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856</Words>
  <Characters>4624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PHC e Saphety juntas na factura electrónica para reduzir custos empresariais</vt:lpstr>
      <vt:lpstr>PHC e Saphety juntas na factura electrónica para reduzir custos empresariais</vt:lpstr>
    </vt:vector>
  </TitlesOfParts>
  <Company>.</Company>
  <LinksUpToDate>false</LinksUpToDate>
  <CharactersWithSpaces>5470</CharactersWithSpaces>
  <SharedDoc>false</SharedDoc>
  <HLinks>
    <vt:vector size="78" baseType="variant">
      <vt:variant>
        <vt:i4>7471214</vt:i4>
      </vt:variant>
      <vt:variant>
        <vt:i4>36</vt:i4>
      </vt:variant>
      <vt:variant>
        <vt:i4>0</vt:i4>
      </vt:variant>
      <vt:variant>
        <vt:i4>5</vt:i4>
      </vt:variant>
      <vt:variant>
        <vt:lpwstr>http://www.edc.pt/</vt:lpwstr>
      </vt:variant>
      <vt:variant>
        <vt:lpwstr/>
      </vt:variant>
      <vt:variant>
        <vt:i4>8192076</vt:i4>
      </vt:variant>
      <vt:variant>
        <vt:i4>33</vt:i4>
      </vt:variant>
      <vt:variant>
        <vt:i4>0</vt:i4>
      </vt:variant>
      <vt:variant>
        <vt:i4>5</vt:i4>
      </vt:variant>
      <vt:variant>
        <vt:lpwstr>mailto:frocha@edc.pt</vt:lpwstr>
      </vt:variant>
      <vt:variant>
        <vt:lpwstr/>
      </vt:variant>
      <vt:variant>
        <vt:i4>8192076</vt:i4>
      </vt:variant>
      <vt:variant>
        <vt:i4>30</vt:i4>
      </vt:variant>
      <vt:variant>
        <vt:i4>0</vt:i4>
      </vt:variant>
      <vt:variant>
        <vt:i4>5</vt:i4>
      </vt:variant>
      <vt:variant>
        <vt:lpwstr>mailto:frocha@edc.pt</vt:lpwstr>
      </vt:variant>
      <vt:variant>
        <vt:lpwstr/>
      </vt:variant>
      <vt:variant>
        <vt:i4>327687</vt:i4>
      </vt:variant>
      <vt:variant>
        <vt:i4>27</vt:i4>
      </vt:variant>
      <vt:variant>
        <vt:i4>0</vt:i4>
      </vt:variant>
      <vt:variant>
        <vt:i4>5</vt:i4>
      </vt:variant>
      <vt:variant>
        <vt:lpwstr>http://www.mbdox.pt/</vt:lpwstr>
      </vt:variant>
      <vt:variant>
        <vt:lpwstr/>
      </vt:variant>
      <vt:variant>
        <vt:i4>917607</vt:i4>
      </vt:variant>
      <vt:variant>
        <vt:i4>24</vt:i4>
      </vt:variant>
      <vt:variant>
        <vt:i4>0</vt:i4>
      </vt:variant>
      <vt:variant>
        <vt:i4>5</vt:i4>
      </vt:variant>
      <vt:variant>
        <vt:lpwstr>http://www.phc.pt/portal/programs/ewpview.aspx?codigo=phc_sibs</vt:lpwstr>
      </vt:variant>
      <vt:variant>
        <vt:lpwstr/>
      </vt:variant>
      <vt:variant>
        <vt:i4>1769537</vt:i4>
      </vt:variant>
      <vt:variant>
        <vt:i4>21</vt:i4>
      </vt:variant>
      <vt:variant>
        <vt:i4>0</vt:i4>
      </vt:variant>
      <vt:variant>
        <vt:i4>5</vt:i4>
      </vt:variant>
      <vt:variant>
        <vt:lpwstr>http://www.phc.pt/portal/programs/estview.aspx?ref=Gestao</vt:lpwstr>
      </vt:variant>
      <vt:variant>
        <vt:lpwstr/>
      </vt:variant>
      <vt:variant>
        <vt:i4>4915203</vt:i4>
      </vt:variant>
      <vt:variant>
        <vt:i4>18</vt:i4>
      </vt:variant>
      <vt:variant>
        <vt:i4>0</vt:i4>
      </vt:variant>
      <vt:variant>
        <vt:i4>5</vt:i4>
      </vt:variant>
      <vt:variant>
        <vt:lpwstr>http://www.phc.pt/portal/programs/ewpview.aspx?codigo=tgamaenterprise</vt:lpwstr>
      </vt:variant>
      <vt:variant>
        <vt:lpwstr/>
      </vt:variant>
      <vt:variant>
        <vt:i4>3473527</vt:i4>
      </vt:variant>
      <vt:variant>
        <vt:i4>15</vt:i4>
      </vt:variant>
      <vt:variant>
        <vt:i4>0</vt:i4>
      </vt:variant>
      <vt:variant>
        <vt:i4>5</vt:i4>
      </vt:variant>
      <vt:variant>
        <vt:lpwstr>http://www.phc.pt/portal/programs/ewpview.aspx?codigo=tgamaadvanced</vt:lpwstr>
      </vt:variant>
      <vt:variant>
        <vt:lpwstr/>
      </vt:variant>
      <vt:variant>
        <vt:i4>5439496</vt:i4>
      </vt:variant>
      <vt:variant>
        <vt:i4>12</vt:i4>
      </vt:variant>
      <vt:variant>
        <vt:i4>0</vt:i4>
      </vt:variant>
      <vt:variant>
        <vt:i4>5</vt:i4>
      </vt:variant>
      <vt:variant>
        <vt:lpwstr>http://www.phc.pt/portal/programs/ewpview.aspx?codigo=tgamacorporate</vt:lpwstr>
      </vt:variant>
      <vt:variant>
        <vt:lpwstr/>
      </vt:variant>
      <vt:variant>
        <vt:i4>4587587</vt:i4>
      </vt:variant>
      <vt:variant>
        <vt:i4>9</vt:i4>
      </vt:variant>
      <vt:variant>
        <vt:i4>0</vt:i4>
      </vt:variant>
      <vt:variant>
        <vt:i4>5</vt:i4>
      </vt:variant>
      <vt:variant>
        <vt:lpwstr>http://www.phc.pt/portal/programs/ewpview.aspx?codigo=upgrade2012</vt:lpwstr>
      </vt:variant>
      <vt:variant>
        <vt:lpwstr/>
      </vt:variant>
      <vt:variant>
        <vt:i4>4784250</vt:i4>
      </vt:variant>
      <vt:variant>
        <vt:i4>6</vt:i4>
      </vt:variant>
      <vt:variant>
        <vt:i4>0</vt:i4>
      </vt:variant>
      <vt:variant>
        <vt:i4>5</vt:i4>
      </vt:variant>
      <vt:variant>
        <vt:lpwstr>http://www.sibs.pt/pt/fps/grupo_sibs/SIBSProcessos.html</vt:lpwstr>
      </vt:variant>
      <vt:variant>
        <vt:lpwstr/>
      </vt:variant>
      <vt:variant>
        <vt:i4>4784250</vt:i4>
      </vt:variant>
      <vt:variant>
        <vt:i4>3</vt:i4>
      </vt:variant>
      <vt:variant>
        <vt:i4>0</vt:i4>
      </vt:variant>
      <vt:variant>
        <vt:i4>5</vt:i4>
      </vt:variant>
      <vt:variant>
        <vt:lpwstr>http://www.sibs.pt/pt/fps/grupo_sibs/SIBSProcessos.html</vt:lpwstr>
      </vt:variant>
      <vt:variant>
        <vt:lpwstr/>
      </vt:variant>
      <vt:variant>
        <vt:i4>6750306</vt:i4>
      </vt:variant>
      <vt:variant>
        <vt:i4>0</vt:i4>
      </vt:variant>
      <vt:variant>
        <vt:i4>0</vt:i4>
      </vt:variant>
      <vt:variant>
        <vt:i4>5</vt:i4>
      </vt:variant>
      <vt:variant>
        <vt:lpwstr>http://www.phc.pt/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PHC e Saphety juntas na factura electrónica para reduzir custos empresariais</dc:title>
  <dc:creator>.</dc:creator>
  <cp:lastModifiedBy>Sílvia Cardoso</cp:lastModifiedBy>
  <cp:revision>6</cp:revision>
  <cp:lastPrinted>2011-08-22T17:32:00Z</cp:lastPrinted>
  <dcterms:created xsi:type="dcterms:W3CDTF">2011-08-24T10:25:00Z</dcterms:created>
  <dcterms:modified xsi:type="dcterms:W3CDTF">2011-08-25T13:23:00Z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